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38" w:rsidRPr="00970DA7" w:rsidRDefault="00AF6038" w:rsidP="00AF6038">
      <w:pPr>
        <w:pBdr>
          <w:top w:val="single" w:sz="4" w:space="1" w:color="000000"/>
        </w:pBdr>
        <w:jc w:val="right"/>
        <w:rPr>
          <w:rFonts w:ascii="Times New Roman" w:eastAsia="Times New Roman" w:hAnsi="Times New Roman" w:cs="Times New Roman"/>
          <w:b/>
          <w:sz w:val="24"/>
          <w:szCs w:val="24"/>
          <w:u w:val="single"/>
        </w:rPr>
      </w:pPr>
    </w:p>
    <w:p w:rsidR="00EC119D" w:rsidRPr="00A94A6E" w:rsidRDefault="00A94A6E" w:rsidP="00EC119D">
      <w:pPr>
        <w:autoSpaceDE w:val="0"/>
        <w:autoSpaceDN w:val="0"/>
        <w:adjustRightInd w:val="0"/>
        <w:spacing w:after="120" w:line="240" w:lineRule="auto"/>
        <w:jc w:val="right"/>
        <w:rPr>
          <w:rFonts w:ascii="Times New Roman" w:hAnsi="Times New Roman" w:cs="Times New Roman"/>
          <w:b/>
          <w:bCs/>
          <w:sz w:val="24"/>
          <w:szCs w:val="24"/>
        </w:rPr>
      </w:pPr>
      <w:r w:rsidRPr="00A94A6E">
        <w:rPr>
          <w:rFonts w:ascii="Times New Roman" w:hAnsi="Times New Roman" w:cs="Times New Roman"/>
          <w:b/>
          <w:bCs/>
          <w:sz w:val="24"/>
          <w:szCs w:val="24"/>
        </w:rPr>
        <w:t>ORDENANZA Nº 106-</w:t>
      </w:r>
      <w:r w:rsidR="00EC119D" w:rsidRPr="00A94A6E">
        <w:rPr>
          <w:rFonts w:ascii="Times New Roman" w:hAnsi="Times New Roman" w:cs="Times New Roman"/>
          <w:b/>
          <w:bCs/>
          <w:sz w:val="24"/>
          <w:szCs w:val="24"/>
        </w:rPr>
        <w:t>HCDPF-2022</w:t>
      </w:r>
    </w:p>
    <w:p w:rsidR="008868F7" w:rsidRPr="00A94A6E" w:rsidRDefault="008868F7" w:rsidP="008868F7">
      <w:pPr>
        <w:shd w:val="clear" w:color="auto" w:fill="FFFFFF"/>
        <w:spacing w:line="240" w:lineRule="auto"/>
        <w:jc w:val="right"/>
        <w:rPr>
          <w:rFonts w:ascii="Times New Roman" w:hAnsi="Times New Roman" w:cs="Times New Roman"/>
          <w:sz w:val="24"/>
          <w:szCs w:val="24"/>
        </w:rPr>
      </w:pPr>
      <w:r w:rsidRPr="00A94A6E">
        <w:rPr>
          <w:rFonts w:ascii="Times New Roman" w:hAnsi="Times New Roman" w:cs="Times New Roman"/>
          <w:sz w:val="24"/>
          <w:szCs w:val="24"/>
        </w:rPr>
        <w:t xml:space="preserve">Potrero de los Funes </w:t>
      </w:r>
      <w:r w:rsidR="00970DA7" w:rsidRPr="00A94A6E">
        <w:rPr>
          <w:rFonts w:ascii="Times New Roman" w:hAnsi="Times New Roman" w:cs="Times New Roman"/>
          <w:sz w:val="24"/>
          <w:szCs w:val="24"/>
        </w:rPr>
        <w:t>21</w:t>
      </w:r>
      <w:r w:rsidR="002C4729" w:rsidRPr="00A94A6E">
        <w:rPr>
          <w:rFonts w:ascii="Times New Roman" w:hAnsi="Times New Roman" w:cs="Times New Roman"/>
          <w:sz w:val="24"/>
          <w:szCs w:val="24"/>
        </w:rPr>
        <w:t xml:space="preserve"> de septiembre</w:t>
      </w:r>
      <w:r w:rsidRPr="00A94A6E">
        <w:rPr>
          <w:rFonts w:ascii="Times New Roman" w:hAnsi="Times New Roman" w:cs="Times New Roman"/>
          <w:sz w:val="24"/>
          <w:szCs w:val="24"/>
        </w:rPr>
        <w:t xml:space="preserve"> de 2022</w:t>
      </w:r>
    </w:p>
    <w:p w:rsidR="008F4AE2" w:rsidRPr="00A94A6E" w:rsidRDefault="008F4AE2" w:rsidP="008F4AE2">
      <w:pPr>
        <w:shd w:val="clear" w:color="auto" w:fill="FFFFFF"/>
        <w:spacing w:line="240" w:lineRule="auto"/>
        <w:jc w:val="center"/>
        <w:rPr>
          <w:rFonts w:ascii="Times New Roman" w:hAnsi="Times New Roman" w:cs="Times New Roman"/>
          <w:b/>
          <w:sz w:val="24"/>
          <w:szCs w:val="24"/>
        </w:rPr>
      </w:pPr>
    </w:p>
    <w:p w:rsidR="00A94A6E" w:rsidRPr="00A94A6E" w:rsidRDefault="00A94A6E" w:rsidP="00A94A6E">
      <w:pPr>
        <w:shd w:val="clear" w:color="auto" w:fill="FFFFFF"/>
        <w:spacing w:after="120" w:line="360" w:lineRule="auto"/>
        <w:jc w:val="center"/>
        <w:rPr>
          <w:rFonts w:ascii="Times New Roman" w:hAnsi="Times New Roman" w:cs="Times New Roman"/>
          <w:b/>
          <w:sz w:val="24"/>
          <w:szCs w:val="24"/>
          <w:u w:val="single"/>
          <w:lang w:eastAsia="es-AR"/>
        </w:rPr>
      </w:pPr>
      <w:r w:rsidRPr="00A94A6E">
        <w:rPr>
          <w:rFonts w:ascii="Times New Roman" w:hAnsi="Times New Roman" w:cs="Times New Roman"/>
          <w:b/>
          <w:sz w:val="24"/>
          <w:szCs w:val="24"/>
          <w:u w:val="single"/>
          <w:lang w:eastAsia="es-AR"/>
        </w:rPr>
        <w:t>RATIFICACION ORDENANZA Nº 103-HCDPF-2022</w:t>
      </w:r>
    </w:p>
    <w:p w:rsidR="00A94A6E" w:rsidRPr="00A94A6E" w:rsidRDefault="00A94A6E" w:rsidP="00A94A6E">
      <w:pPr>
        <w:shd w:val="clear" w:color="auto" w:fill="FFFFFF"/>
        <w:spacing w:after="120" w:line="360" w:lineRule="auto"/>
        <w:rPr>
          <w:rFonts w:ascii="Times New Roman" w:hAnsi="Times New Roman" w:cs="Times New Roman"/>
          <w:sz w:val="24"/>
          <w:szCs w:val="24"/>
          <w:lang w:eastAsia="es-AR"/>
        </w:rPr>
      </w:pPr>
    </w:p>
    <w:p w:rsidR="00A94A6E" w:rsidRPr="00A94A6E" w:rsidRDefault="00A94A6E" w:rsidP="00A94A6E">
      <w:pPr>
        <w:shd w:val="clear" w:color="auto" w:fill="FFFFFF"/>
        <w:spacing w:after="120" w:line="360" w:lineRule="auto"/>
        <w:rPr>
          <w:rFonts w:ascii="Times New Roman" w:hAnsi="Times New Roman" w:cs="Times New Roman"/>
          <w:sz w:val="24"/>
          <w:szCs w:val="24"/>
          <w:lang w:eastAsia="es-AR"/>
        </w:rPr>
      </w:pPr>
    </w:p>
    <w:p w:rsidR="00A94A6E" w:rsidRPr="00A94A6E" w:rsidRDefault="00A94A6E" w:rsidP="00A94A6E">
      <w:pPr>
        <w:shd w:val="clear" w:color="auto" w:fill="FFFFFF"/>
        <w:spacing w:after="120" w:line="360" w:lineRule="auto"/>
        <w:jc w:val="both"/>
        <w:rPr>
          <w:rFonts w:ascii="Times New Roman" w:hAnsi="Times New Roman" w:cs="Times New Roman"/>
          <w:b/>
          <w:sz w:val="24"/>
          <w:szCs w:val="24"/>
          <w:lang w:eastAsia="es-AR"/>
        </w:rPr>
      </w:pPr>
      <w:r w:rsidRPr="00A94A6E">
        <w:rPr>
          <w:rFonts w:ascii="Times New Roman" w:hAnsi="Times New Roman" w:cs="Times New Roman"/>
          <w:b/>
          <w:sz w:val="24"/>
          <w:szCs w:val="24"/>
          <w:lang w:eastAsia="es-AR"/>
        </w:rPr>
        <w:t>VISTO:</w:t>
      </w:r>
    </w:p>
    <w:p w:rsidR="00A94A6E" w:rsidRPr="00A94A6E" w:rsidRDefault="00A94A6E" w:rsidP="00A94A6E">
      <w:pPr>
        <w:shd w:val="clear" w:color="auto" w:fill="FFFFFF"/>
        <w:spacing w:after="120" w:line="360" w:lineRule="auto"/>
        <w:jc w:val="both"/>
        <w:rPr>
          <w:rFonts w:ascii="Times New Roman" w:hAnsi="Times New Roman" w:cs="Times New Roman"/>
          <w:sz w:val="24"/>
          <w:szCs w:val="24"/>
          <w:lang w:eastAsia="es-AR"/>
        </w:rPr>
      </w:pP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t>El veto dispuesto por el Ejecutivo Municipal mediante Decreto Nº 30-IMPF/20222 contra la Ordenanza Nº 103-HCDPF-2022;</w:t>
      </w:r>
    </w:p>
    <w:p w:rsidR="00A94A6E" w:rsidRPr="00A94A6E" w:rsidRDefault="00A94A6E" w:rsidP="00A94A6E">
      <w:pPr>
        <w:shd w:val="clear" w:color="auto" w:fill="FFFFFF"/>
        <w:spacing w:after="120" w:line="360" w:lineRule="auto"/>
        <w:jc w:val="both"/>
        <w:rPr>
          <w:rFonts w:ascii="Times New Roman" w:hAnsi="Times New Roman" w:cs="Times New Roman"/>
          <w:sz w:val="24"/>
          <w:szCs w:val="24"/>
          <w:lang w:eastAsia="es-AR"/>
        </w:rPr>
      </w:pPr>
    </w:p>
    <w:p w:rsidR="00A94A6E" w:rsidRPr="00A94A6E" w:rsidRDefault="00A94A6E" w:rsidP="00A94A6E">
      <w:pPr>
        <w:shd w:val="clear" w:color="auto" w:fill="FFFFFF"/>
        <w:spacing w:after="120" w:line="360" w:lineRule="auto"/>
        <w:jc w:val="both"/>
        <w:rPr>
          <w:rFonts w:ascii="Times New Roman" w:hAnsi="Times New Roman" w:cs="Times New Roman"/>
          <w:b/>
          <w:sz w:val="24"/>
          <w:szCs w:val="24"/>
          <w:lang w:eastAsia="es-AR"/>
        </w:rPr>
      </w:pPr>
      <w:r w:rsidRPr="00A94A6E">
        <w:rPr>
          <w:rFonts w:ascii="Times New Roman" w:hAnsi="Times New Roman" w:cs="Times New Roman"/>
          <w:b/>
          <w:sz w:val="24"/>
          <w:szCs w:val="24"/>
          <w:lang w:eastAsia="es-AR"/>
        </w:rPr>
        <w:t>Y CONSIDERANDO:</w:t>
      </w:r>
    </w:p>
    <w:p w:rsidR="00A94A6E" w:rsidRPr="00A94A6E" w:rsidRDefault="00A94A6E" w:rsidP="00A94A6E">
      <w:pPr>
        <w:shd w:val="clear" w:color="auto" w:fill="FFFFFF"/>
        <w:spacing w:after="120" w:line="360" w:lineRule="auto"/>
        <w:jc w:val="both"/>
        <w:rPr>
          <w:rFonts w:ascii="Times New Roman" w:hAnsi="Times New Roman" w:cs="Times New Roman"/>
          <w:sz w:val="24"/>
          <w:szCs w:val="24"/>
          <w:lang w:eastAsia="es-AR"/>
        </w:rPr>
      </w:pP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t>Que en los fundamentos del mismo veto parcial que dispone el Ejecutivo Municipal, reconoce que es insoslayable la realidad de la sequía que estamos transitando.</w:t>
      </w:r>
    </w:p>
    <w:p w:rsidR="00A94A6E" w:rsidRPr="00A94A6E" w:rsidRDefault="00A94A6E" w:rsidP="00A94A6E">
      <w:pPr>
        <w:shd w:val="clear" w:color="auto" w:fill="FFFFFF"/>
        <w:spacing w:after="120" w:line="360" w:lineRule="auto"/>
        <w:jc w:val="both"/>
        <w:rPr>
          <w:rFonts w:ascii="Times New Roman" w:hAnsi="Times New Roman" w:cs="Times New Roman"/>
          <w:sz w:val="24"/>
          <w:szCs w:val="24"/>
          <w:lang w:eastAsia="es-AR"/>
        </w:rPr>
      </w:pP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t>Que, también en los considerandos del veto parcial municipal, para el trimestre setiembre – octubre – noviembre 2022 (SON), hay 80 % de probabilidad de que se mantengan las condiciones del efecto Niña.</w:t>
      </w:r>
    </w:p>
    <w:p w:rsidR="00A94A6E" w:rsidRPr="00A94A6E" w:rsidRDefault="00A94A6E" w:rsidP="00A94A6E">
      <w:pPr>
        <w:shd w:val="clear" w:color="auto" w:fill="FFFFFF"/>
        <w:spacing w:after="120" w:line="360" w:lineRule="auto"/>
        <w:jc w:val="both"/>
        <w:rPr>
          <w:rFonts w:ascii="Times New Roman" w:hAnsi="Times New Roman" w:cs="Times New Roman"/>
          <w:sz w:val="24"/>
          <w:szCs w:val="24"/>
          <w:lang w:eastAsia="es-AR"/>
        </w:rPr>
      </w:pP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t>Que, a pesar del intento de repartir las responsabilidades en proporciones similares entre los ciudadanos y los organismos responsables de administrar, en este caso el RECURSO HIDRICO.</w:t>
      </w:r>
    </w:p>
    <w:p w:rsidR="00A94A6E" w:rsidRPr="00A94A6E" w:rsidRDefault="00A94A6E" w:rsidP="00A94A6E">
      <w:pPr>
        <w:shd w:val="clear" w:color="auto" w:fill="FFFFFF"/>
        <w:spacing w:after="120" w:line="360" w:lineRule="auto"/>
        <w:jc w:val="both"/>
        <w:rPr>
          <w:rFonts w:ascii="Times New Roman" w:hAnsi="Times New Roman" w:cs="Times New Roman"/>
          <w:sz w:val="24"/>
          <w:szCs w:val="24"/>
          <w:lang w:eastAsia="es-AR"/>
        </w:rPr>
      </w:pP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t xml:space="preserve">Que es más que evidente la inacción del Departamento Ejecutivo en cuanto a tomar conciencia que la responsabilidad final del suministro de agua potable para la población recae sobre el propio Departamento Ejecutivo, vale decir en este tema que quedó evidenciado el accionar del municipio pretendiendo organizar una competencia náutica, expresamente prohibida, argumentando que nadie tomaba agua del dique y reconociendo en la misma declaración que se abastecía al 20 % de la población </w:t>
      </w:r>
      <w:r w:rsidRPr="00A94A6E">
        <w:rPr>
          <w:rFonts w:ascii="Times New Roman" w:hAnsi="Times New Roman" w:cs="Times New Roman"/>
          <w:sz w:val="24"/>
          <w:szCs w:val="24"/>
          <w:lang w:eastAsia="es-AR"/>
        </w:rPr>
        <w:lastRenderedPageBreak/>
        <w:t>desde el dique.(declaraciones en radio “Up, radio Municipal Potrero de los Funes, 88.9” del día viernes 9 de setiembre).</w:t>
      </w:r>
    </w:p>
    <w:p w:rsidR="00A94A6E" w:rsidRPr="00A94A6E" w:rsidRDefault="00A94A6E" w:rsidP="00A94A6E">
      <w:pPr>
        <w:shd w:val="clear" w:color="auto" w:fill="FFFFFF"/>
        <w:spacing w:after="120" w:line="360" w:lineRule="auto"/>
        <w:jc w:val="both"/>
        <w:rPr>
          <w:rFonts w:ascii="Times New Roman" w:hAnsi="Times New Roman" w:cs="Times New Roman"/>
          <w:sz w:val="24"/>
          <w:szCs w:val="24"/>
          <w:lang w:eastAsia="es-AR"/>
        </w:rPr>
      </w:pP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t>Que quien tiene la obligación de realizar el control y aplicar las sanciones a quienes incumplan con las disposiciones emitidas por el administrador de la distribución del agua potable, es el Departamento Ejecutivo con el cuerpo de inspectores y la sanción oportuna del Juzgado de Faltas, que para esto es indispensable en un marco de emergencia hídrica dotar a la Cooperativa con todas las herramientas necesarias para administrar eficientemente el escaso recurso disponible.</w:t>
      </w:r>
    </w:p>
    <w:p w:rsidR="00A94A6E" w:rsidRPr="00A94A6E" w:rsidRDefault="00A94A6E" w:rsidP="00A94A6E">
      <w:pPr>
        <w:shd w:val="clear" w:color="auto" w:fill="FFFFFF"/>
        <w:spacing w:after="120" w:line="360" w:lineRule="auto"/>
        <w:jc w:val="both"/>
        <w:rPr>
          <w:rFonts w:ascii="Times New Roman" w:hAnsi="Times New Roman" w:cs="Times New Roman"/>
          <w:sz w:val="24"/>
          <w:szCs w:val="24"/>
          <w:lang w:eastAsia="es-AR"/>
        </w:rPr>
      </w:pP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t>Que sin lugar a dudas la prioridad es garantizar el acceso al agua potable a toda la población, pero minimizar la importancia del uso del agua en nuestra localidad, sin considerar que es un elemento esencial en la generación de actividad económica y trabajo es no entender la principal industria factible de nuestra ciudad.</w:t>
      </w:r>
    </w:p>
    <w:p w:rsidR="00A94A6E" w:rsidRPr="00A94A6E" w:rsidRDefault="00A94A6E" w:rsidP="00A94A6E">
      <w:pPr>
        <w:shd w:val="clear" w:color="auto" w:fill="FFFFFF"/>
        <w:spacing w:after="120" w:line="360" w:lineRule="auto"/>
        <w:jc w:val="both"/>
        <w:rPr>
          <w:rFonts w:ascii="Times New Roman" w:hAnsi="Times New Roman" w:cs="Times New Roman"/>
          <w:sz w:val="24"/>
          <w:szCs w:val="24"/>
          <w:lang w:eastAsia="es-AR"/>
        </w:rPr>
      </w:pP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t>Que lo que la ordenanza establece, es que el ejecutivo diagrame un plan de contingencias adecuado y previendo las situaciones que se pueden dar, en este sentido para garantizar la continuidad de las obras en ejecución, que generan puestos de trabajo, y la actividad turística y comercial. Es el Departamento Ejecutivo el que debe gestionar y elaborar propuestas alternativas para garantizar la actividad económica y el acceso al agua de toda la población.</w:t>
      </w:r>
    </w:p>
    <w:p w:rsidR="00A94A6E" w:rsidRPr="00A94A6E" w:rsidRDefault="00A94A6E" w:rsidP="00A94A6E">
      <w:pPr>
        <w:shd w:val="clear" w:color="auto" w:fill="FFFFFF"/>
        <w:spacing w:after="120" w:line="360" w:lineRule="auto"/>
        <w:jc w:val="both"/>
        <w:rPr>
          <w:rFonts w:ascii="Times New Roman" w:hAnsi="Times New Roman" w:cs="Times New Roman"/>
          <w:sz w:val="24"/>
          <w:szCs w:val="24"/>
          <w:lang w:eastAsia="es-AR"/>
        </w:rPr>
      </w:pP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t>Que decir que la Ordenanza Tarifaria vigente sancionada por este Concejo ha dejada desprovista de recursos financieros suficientes es falso y para muestra solo basta ver que, en el segundo trimestre de este año, incluso incumpliendo con lo establecido en la ley XII-0349-2004, el Departamento Ejecutivo se aumentó el Sueldo en más de un 35%, solo para el funcionario político, nada para el personal y mucho menos para obra pública.</w:t>
      </w:r>
    </w:p>
    <w:p w:rsidR="00A94A6E" w:rsidRPr="00A94A6E" w:rsidRDefault="00A94A6E" w:rsidP="00A94A6E">
      <w:pPr>
        <w:shd w:val="clear" w:color="auto" w:fill="FFFFFF"/>
        <w:spacing w:after="120" w:line="360" w:lineRule="auto"/>
        <w:jc w:val="both"/>
        <w:rPr>
          <w:rFonts w:ascii="Times New Roman" w:hAnsi="Times New Roman" w:cs="Times New Roman"/>
          <w:sz w:val="24"/>
          <w:szCs w:val="24"/>
          <w:lang w:eastAsia="es-AR"/>
        </w:rPr>
      </w:pP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t>Que como bien dice en el penúltimo párrafo de los considerandos del Veto Parcial, en su ANEXO I TITULO PRELIMINAR artículo 5 establece: “Vigencia. Las leyes rigen después del octavo día de su publicación oficial, o desde el día que ELLAS determinen” .</w:t>
      </w:r>
    </w:p>
    <w:p w:rsidR="00A94A6E" w:rsidRPr="00A94A6E" w:rsidRDefault="00A94A6E" w:rsidP="00A94A6E">
      <w:pPr>
        <w:shd w:val="clear" w:color="auto" w:fill="FFFFFF"/>
        <w:spacing w:after="120" w:line="360" w:lineRule="auto"/>
        <w:jc w:val="both"/>
        <w:rPr>
          <w:rFonts w:ascii="Times New Roman" w:hAnsi="Times New Roman" w:cs="Times New Roman"/>
          <w:bCs/>
          <w:sz w:val="24"/>
          <w:szCs w:val="24"/>
        </w:rPr>
      </w:pPr>
      <w:r w:rsidRPr="00A94A6E">
        <w:rPr>
          <w:rFonts w:ascii="Times New Roman" w:hAnsi="Times New Roman" w:cs="Times New Roman"/>
          <w:sz w:val="24"/>
          <w:szCs w:val="24"/>
          <w:lang w:eastAsia="es-AR"/>
        </w:rPr>
        <w:lastRenderedPageBreak/>
        <w:tab/>
      </w:r>
      <w:r w:rsidRPr="00A94A6E">
        <w:rPr>
          <w:rFonts w:ascii="Times New Roman" w:hAnsi="Times New Roman" w:cs="Times New Roman"/>
          <w:sz w:val="24"/>
          <w:szCs w:val="24"/>
          <w:lang w:eastAsia="es-AR"/>
        </w:rPr>
        <w:tab/>
      </w:r>
      <w:r w:rsidRPr="00A94A6E">
        <w:rPr>
          <w:rFonts w:ascii="Times New Roman" w:hAnsi="Times New Roman" w:cs="Times New Roman"/>
          <w:sz w:val="24"/>
          <w:szCs w:val="24"/>
          <w:lang w:eastAsia="es-AR"/>
        </w:rPr>
        <w:tab/>
        <w:t xml:space="preserve">Que </w:t>
      </w:r>
      <w:r w:rsidRPr="00A94A6E">
        <w:rPr>
          <w:rFonts w:ascii="Times New Roman" w:hAnsi="Times New Roman" w:cs="Times New Roman"/>
          <w:bCs/>
          <w:sz w:val="24"/>
          <w:szCs w:val="24"/>
        </w:rPr>
        <w:t>corresponde ratificar la validez de la norma parcialmente vetada, en los términos del último párrafo del inciso 5) del Artículo 261 de nuestra Constitución Provincial y con las mayorías allí indicadas.</w:t>
      </w:r>
    </w:p>
    <w:p w:rsidR="00A94A6E" w:rsidRPr="00A94A6E" w:rsidRDefault="00A94A6E" w:rsidP="00A94A6E">
      <w:pPr>
        <w:shd w:val="clear" w:color="auto" w:fill="FFFFFF"/>
        <w:spacing w:after="120" w:line="360" w:lineRule="auto"/>
        <w:jc w:val="both"/>
        <w:rPr>
          <w:rFonts w:ascii="Times New Roman" w:hAnsi="Times New Roman" w:cs="Times New Roman"/>
          <w:bCs/>
          <w:sz w:val="24"/>
          <w:szCs w:val="24"/>
        </w:rPr>
      </w:pPr>
      <w:r w:rsidRPr="00A94A6E">
        <w:rPr>
          <w:rFonts w:ascii="Times New Roman" w:hAnsi="Times New Roman" w:cs="Times New Roman"/>
          <w:bCs/>
          <w:sz w:val="24"/>
          <w:szCs w:val="24"/>
        </w:rPr>
        <w:tab/>
      </w:r>
      <w:r w:rsidRPr="00A94A6E">
        <w:rPr>
          <w:rFonts w:ascii="Times New Roman" w:hAnsi="Times New Roman" w:cs="Times New Roman"/>
          <w:bCs/>
          <w:sz w:val="24"/>
          <w:szCs w:val="24"/>
        </w:rPr>
        <w:tab/>
      </w:r>
      <w:r w:rsidRPr="00A94A6E">
        <w:rPr>
          <w:rFonts w:ascii="Times New Roman" w:hAnsi="Times New Roman" w:cs="Times New Roman"/>
          <w:bCs/>
          <w:sz w:val="24"/>
          <w:szCs w:val="24"/>
        </w:rPr>
        <w:tab/>
        <w:t xml:space="preserve">Por ello, </w:t>
      </w:r>
    </w:p>
    <w:p w:rsidR="00A94A6E" w:rsidRPr="00A94A6E" w:rsidRDefault="00A94A6E" w:rsidP="00A94A6E">
      <w:pPr>
        <w:shd w:val="clear" w:color="auto" w:fill="FFFFFF"/>
        <w:spacing w:after="120" w:line="360" w:lineRule="auto"/>
        <w:jc w:val="both"/>
        <w:rPr>
          <w:rFonts w:ascii="Times New Roman" w:hAnsi="Times New Roman" w:cs="Times New Roman"/>
          <w:bCs/>
          <w:sz w:val="24"/>
          <w:szCs w:val="24"/>
        </w:rPr>
      </w:pPr>
    </w:p>
    <w:p w:rsidR="00A94A6E" w:rsidRPr="00A94A6E" w:rsidRDefault="00A94A6E" w:rsidP="00A94A6E">
      <w:pPr>
        <w:shd w:val="clear" w:color="auto" w:fill="FFFFFF"/>
        <w:spacing w:after="120" w:line="360" w:lineRule="auto"/>
        <w:jc w:val="center"/>
        <w:rPr>
          <w:rFonts w:ascii="Times New Roman" w:hAnsi="Times New Roman" w:cs="Times New Roman"/>
          <w:b/>
          <w:bCs/>
          <w:color w:val="000000"/>
          <w:sz w:val="24"/>
          <w:szCs w:val="24"/>
          <w:lang w:eastAsia="es-AR"/>
        </w:rPr>
      </w:pPr>
      <w:r w:rsidRPr="00A94A6E">
        <w:rPr>
          <w:rFonts w:ascii="Times New Roman" w:hAnsi="Times New Roman" w:cs="Times New Roman"/>
          <w:b/>
          <w:bCs/>
          <w:color w:val="000000"/>
          <w:sz w:val="24"/>
          <w:szCs w:val="24"/>
          <w:lang w:eastAsia="es-AR"/>
        </w:rPr>
        <w:t xml:space="preserve">EL HONORABLE CONCEJO DELIBERANTE DE LA MUNICIPALIDAD DE POTRERO DE LOS FUNES SANCIONA CON FUERZA DE </w:t>
      </w:r>
    </w:p>
    <w:p w:rsidR="00A94A6E" w:rsidRPr="00A94A6E" w:rsidRDefault="00A94A6E" w:rsidP="00A94A6E">
      <w:pPr>
        <w:shd w:val="clear" w:color="auto" w:fill="FFFFFF"/>
        <w:spacing w:after="120" w:line="360" w:lineRule="auto"/>
        <w:jc w:val="center"/>
        <w:rPr>
          <w:rFonts w:ascii="Times New Roman" w:hAnsi="Times New Roman" w:cs="Times New Roman"/>
          <w:b/>
          <w:bCs/>
          <w:color w:val="000000"/>
          <w:sz w:val="24"/>
          <w:szCs w:val="24"/>
          <w:lang w:eastAsia="es-AR"/>
        </w:rPr>
      </w:pPr>
      <w:r w:rsidRPr="00A94A6E">
        <w:rPr>
          <w:rFonts w:ascii="Times New Roman" w:hAnsi="Times New Roman" w:cs="Times New Roman"/>
          <w:b/>
          <w:bCs/>
          <w:color w:val="000000"/>
          <w:sz w:val="24"/>
          <w:szCs w:val="24"/>
          <w:lang w:eastAsia="es-AR"/>
        </w:rPr>
        <w:t>ORDENANZA:</w:t>
      </w:r>
    </w:p>
    <w:p w:rsidR="00A94A6E" w:rsidRPr="00A94A6E" w:rsidRDefault="00A94A6E" w:rsidP="00A94A6E">
      <w:pPr>
        <w:shd w:val="clear" w:color="auto" w:fill="FFFFFF"/>
        <w:spacing w:after="120" w:line="360" w:lineRule="auto"/>
        <w:jc w:val="both"/>
        <w:rPr>
          <w:rFonts w:ascii="Times New Roman" w:hAnsi="Times New Roman" w:cs="Times New Roman"/>
          <w:bCs/>
          <w:sz w:val="24"/>
          <w:szCs w:val="24"/>
        </w:rPr>
      </w:pPr>
    </w:p>
    <w:p w:rsidR="00A94A6E" w:rsidRPr="00A94A6E" w:rsidRDefault="00A94A6E" w:rsidP="00A94A6E">
      <w:pPr>
        <w:shd w:val="clear" w:color="auto" w:fill="FFFFFF"/>
        <w:spacing w:after="120" w:line="360" w:lineRule="auto"/>
        <w:jc w:val="both"/>
        <w:rPr>
          <w:rFonts w:ascii="Times New Roman" w:hAnsi="Times New Roman" w:cs="Times New Roman"/>
          <w:bCs/>
          <w:sz w:val="24"/>
          <w:szCs w:val="24"/>
        </w:rPr>
      </w:pPr>
      <w:r w:rsidRPr="00A94A6E">
        <w:rPr>
          <w:rFonts w:ascii="Times New Roman" w:hAnsi="Times New Roman" w:cs="Times New Roman"/>
          <w:bCs/>
          <w:sz w:val="24"/>
          <w:szCs w:val="24"/>
        </w:rPr>
        <w:t>Artículo 1º:</w:t>
      </w:r>
      <w:r w:rsidRPr="00A94A6E">
        <w:rPr>
          <w:rFonts w:ascii="Times New Roman" w:hAnsi="Times New Roman" w:cs="Times New Roman"/>
          <w:bCs/>
          <w:sz w:val="24"/>
          <w:szCs w:val="24"/>
        </w:rPr>
        <w:tab/>
        <w:t xml:space="preserve">RECHAZAR el veto parcial dispuesto por Decreto Nº </w:t>
      </w:r>
      <w:r w:rsidRPr="00A94A6E">
        <w:rPr>
          <w:rFonts w:ascii="Times New Roman" w:hAnsi="Times New Roman" w:cs="Times New Roman"/>
          <w:sz w:val="24"/>
          <w:szCs w:val="24"/>
          <w:lang w:eastAsia="es-AR"/>
        </w:rPr>
        <w:t>30-IMPF/20222.</w:t>
      </w:r>
    </w:p>
    <w:p w:rsidR="00A94A6E" w:rsidRPr="00A94A6E" w:rsidRDefault="00A94A6E" w:rsidP="00A94A6E">
      <w:pPr>
        <w:shd w:val="clear" w:color="auto" w:fill="FFFFFF"/>
        <w:spacing w:after="120" w:line="360" w:lineRule="auto"/>
        <w:ind w:left="1410" w:hanging="1410"/>
        <w:jc w:val="both"/>
        <w:rPr>
          <w:rFonts w:ascii="Times New Roman" w:hAnsi="Times New Roman" w:cs="Times New Roman"/>
          <w:bCs/>
          <w:sz w:val="24"/>
          <w:szCs w:val="24"/>
        </w:rPr>
      </w:pPr>
      <w:r w:rsidRPr="00A94A6E">
        <w:rPr>
          <w:rFonts w:ascii="Times New Roman" w:hAnsi="Times New Roman" w:cs="Times New Roman"/>
          <w:bCs/>
          <w:sz w:val="24"/>
          <w:szCs w:val="24"/>
        </w:rPr>
        <w:t>Artículo 2º:</w:t>
      </w:r>
      <w:r w:rsidRPr="00A94A6E">
        <w:rPr>
          <w:rFonts w:ascii="Times New Roman" w:hAnsi="Times New Roman" w:cs="Times New Roman"/>
          <w:bCs/>
          <w:sz w:val="24"/>
          <w:szCs w:val="24"/>
        </w:rPr>
        <w:tab/>
        <w:t xml:space="preserve">RATIFICAR en todos sus términos la Ordenanza </w:t>
      </w:r>
      <w:r w:rsidRPr="00A94A6E">
        <w:rPr>
          <w:rFonts w:ascii="Times New Roman" w:hAnsi="Times New Roman" w:cs="Times New Roman"/>
          <w:sz w:val="24"/>
          <w:szCs w:val="24"/>
          <w:lang w:eastAsia="es-AR"/>
        </w:rPr>
        <w:t>Nº 103-HCDPF-2022.</w:t>
      </w:r>
    </w:p>
    <w:p w:rsidR="00A94A6E" w:rsidRPr="00A94A6E" w:rsidRDefault="00A94A6E" w:rsidP="00A94A6E">
      <w:pPr>
        <w:spacing w:after="120" w:line="360" w:lineRule="auto"/>
        <w:ind w:left="1080" w:hanging="1080"/>
        <w:jc w:val="both"/>
        <w:rPr>
          <w:rFonts w:ascii="Times New Roman" w:hAnsi="Times New Roman" w:cs="Times New Roman"/>
          <w:sz w:val="24"/>
          <w:szCs w:val="24"/>
        </w:rPr>
      </w:pPr>
      <w:r w:rsidRPr="00A94A6E">
        <w:rPr>
          <w:rFonts w:ascii="Times New Roman" w:hAnsi="Times New Roman" w:cs="Times New Roman"/>
          <w:bCs/>
          <w:sz w:val="24"/>
          <w:szCs w:val="24"/>
        </w:rPr>
        <w:t>Artículo 3º:</w:t>
      </w:r>
      <w:r w:rsidRPr="00A94A6E">
        <w:rPr>
          <w:rFonts w:ascii="Times New Roman" w:hAnsi="Times New Roman" w:cs="Times New Roman"/>
          <w:bCs/>
          <w:sz w:val="24"/>
          <w:szCs w:val="24"/>
        </w:rPr>
        <w:tab/>
      </w:r>
      <w:r w:rsidRPr="00A94A6E">
        <w:rPr>
          <w:rFonts w:ascii="Times New Roman" w:hAnsi="Times New Roman" w:cs="Times New Roman"/>
          <w:bCs/>
          <w:color w:val="000000"/>
          <w:sz w:val="24"/>
          <w:szCs w:val="24"/>
          <w:lang w:eastAsia="es-AR"/>
        </w:rPr>
        <w:t>Comuníquese, regístrese, publíquese y archívese.</w:t>
      </w:r>
    </w:p>
    <w:p w:rsidR="00A94A6E" w:rsidRPr="00A94A6E" w:rsidRDefault="00A94A6E" w:rsidP="00A94A6E">
      <w:pPr>
        <w:shd w:val="clear" w:color="auto" w:fill="FFFFFF"/>
        <w:spacing w:after="120" w:line="360" w:lineRule="auto"/>
        <w:ind w:left="1410" w:hanging="1410"/>
        <w:jc w:val="both"/>
        <w:rPr>
          <w:rFonts w:ascii="Times New Roman" w:hAnsi="Times New Roman" w:cs="Times New Roman"/>
          <w:bCs/>
          <w:color w:val="000000"/>
          <w:sz w:val="24"/>
          <w:szCs w:val="24"/>
          <w:lang w:eastAsia="es-AR"/>
        </w:rPr>
      </w:pPr>
    </w:p>
    <w:p w:rsidR="00A94A6E" w:rsidRPr="00A94A6E" w:rsidRDefault="00A94A6E" w:rsidP="00A94A6E">
      <w:pPr>
        <w:shd w:val="clear" w:color="auto" w:fill="FFFFFF"/>
        <w:spacing w:after="120" w:line="360" w:lineRule="auto"/>
        <w:jc w:val="both"/>
        <w:rPr>
          <w:rFonts w:ascii="Times New Roman" w:hAnsi="Times New Roman" w:cs="Times New Roman"/>
          <w:bCs/>
          <w:sz w:val="24"/>
          <w:szCs w:val="24"/>
        </w:rPr>
      </w:pPr>
    </w:p>
    <w:p w:rsidR="00906F20" w:rsidRPr="00A94A6E" w:rsidRDefault="00906F20" w:rsidP="006B1996">
      <w:pPr>
        <w:rPr>
          <w:rFonts w:ascii="Times New Roman" w:hAnsi="Times New Roman" w:cs="Times New Roman"/>
          <w:sz w:val="24"/>
          <w:szCs w:val="24"/>
        </w:rPr>
      </w:pPr>
    </w:p>
    <w:sectPr w:rsidR="00906F20" w:rsidRPr="00A94A6E" w:rsidSect="0037048E">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77C" w:rsidRDefault="004D277C" w:rsidP="00572B35">
      <w:pPr>
        <w:spacing w:after="0" w:line="240" w:lineRule="auto"/>
      </w:pPr>
      <w:r>
        <w:separator/>
      </w:r>
    </w:p>
  </w:endnote>
  <w:endnote w:type="continuationSeparator" w:id="1">
    <w:p w:rsidR="004D277C" w:rsidRDefault="004D277C"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77C" w:rsidRDefault="004D277C" w:rsidP="00572B35">
      <w:pPr>
        <w:spacing w:after="0" w:line="240" w:lineRule="auto"/>
      </w:pPr>
      <w:r>
        <w:separator/>
      </w:r>
    </w:p>
  </w:footnote>
  <w:footnote w:type="continuationSeparator" w:id="1">
    <w:p w:rsidR="004D277C" w:rsidRDefault="004D277C"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3030" b="24738"/>
                  <a:stretch/>
                </pic:blipFill>
                <pic:spPr bwMode="auto">
                  <a:xfrm>
                    <a:off x="0" y="0"/>
                    <a:ext cx="1786663" cy="894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E6E35"/>
    <w:multiLevelType w:val="hybridMultilevel"/>
    <w:tmpl w:val="8E00064E"/>
    <w:lvl w:ilvl="0" w:tplc="609C9BEA">
      <w:start w:val="1"/>
      <w:numFmt w:val="lowerLetter"/>
      <w:lvlText w:val="%1-"/>
      <w:lvlJc w:val="left"/>
      <w:pPr>
        <w:ind w:left="64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CEB17D6"/>
    <w:multiLevelType w:val="hybridMultilevel"/>
    <w:tmpl w:val="C7523DAA"/>
    <w:lvl w:ilvl="0" w:tplc="664AB5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5">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04450"/>
  </w:hdrShapeDefaults>
  <w:footnotePr>
    <w:footnote w:id="0"/>
    <w:footnote w:id="1"/>
  </w:footnotePr>
  <w:endnotePr>
    <w:endnote w:id="0"/>
    <w:endnote w:id="1"/>
  </w:endnotePr>
  <w:compat>
    <w:useFELayout/>
  </w:compat>
  <w:rsids>
    <w:rsidRoot w:val="00572B35"/>
    <w:rsid w:val="00004192"/>
    <w:rsid w:val="0001505B"/>
    <w:rsid w:val="00031E62"/>
    <w:rsid w:val="000A2193"/>
    <w:rsid w:val="001C6042"/>
    <w:rsid w:val="001D039E"/>
    <w:rsid w:val="001D6C12"/>
    <w:rsid w:val="001D7459"/>
    <w:rsid w:val="00212A53"/>
    <w:rsid w:val="00276F9D"/>
    <w:rsid w:val="0028265F"/>
    <w:rsid w:val="00282CEA"/>
    <w:rsid w:val="00293475"/>
    <w:rsid w:val="00295C10"/>
    <w:rsid w:val="002C0643"/>
    <w:rsid w:val="002C4729"/>
    <w:rsid w:val="002E4EC1"/>
    <w:rsid w:val="00317BB6"/>
    <w:rsid w:val="00324820"/>
    <w:rsid w:val="0037048E"/>
    <w:rsid w:val="00372FA3"/>
    <w:rsid w:val="003C335E"/>
    <w:rsid w:val="003C5CBF"/>
    <w:rsid w:val="003D3C13"/>
    <w:rsid w:val="004142A3"/>
    <w:rsid w:val="0046790D"/>
    <w:rsid w:val="00472E6C"/>
    <w:rsid w:val="00483B0B"/>
    <w:rsid w:val="004D277C"/>
    <w:rsid w:val="004E3CD9"/>
    <w:rsid w:val="005033DC"/>
    <w:rsid w:val="00511A58"/>
    <w:rsid w:val="00572B35"/>
    <w:rsid w:val="00593D28"/>
    <w:rsid w:val="005B14F3"/>
    <w:rsid w:val="005E7581"/>
    <w:rsid w:val="005F590E"/>
    <w:rsid w:val="00610AEC"/>
    <w:rsid w:val="00613B87"/>
    <w:rsid w:val="00635EB9"/>
    <w:rsid w:val="00666E9E"/>
    <w:rsid w:val="006A0FC3"/>
    <w:rsid w:val="006B1996"/>
    <w:rsid w:val="006B6A9B"/>
    <w:rsid w:val="006C3AA0"/>
    <w:rsid w:val="00737023"/>
    <w:rsid w:val="0075295F"/>
    <w:rsid w:val="00760FCF"/>
    <w:rsid w:val="00776E52"/>
    <w:rsid w:val="00793063"/>
    <w:rsid w:val="007A46D8"/>
    <w:rsid w:val="007B3E17"/>
    <w:rsid w:val="007B6382"/>
    <w:rsid w:val="007F0212"/>
    <w:rsid w:val="00803679"/>
    <w:rsid w:val="00815DFA"/>
    <w:rsid w:val="008442F3"/>
    <w:rsid w:val="008868F7"/>
    <w:rsid w:val="008C7855"/>
    <w:rsid w:val="008F4AE2"/>
    <w:rsid w:val="00906F20"/>
    <w:rsid w:val="0092112A"/>
    <w:rsid w:val="009228AC"/>
    <w:rsid w:val="009259E4"/>
    <w:rsid w:val="00931B75"/>
    <w:rsid w:val="00970DA7"/>
    <w:rsid w:val="00980781"/>
    <w:rsid w:val="009A33F2"/>
    <w:rsid w:val="009B060B"/>
    <w:rsid w:val="00A00479"/>
    <w:rsid w:val="00A07781"/>
    <w:rsid w:val="00A41658"/>
    <w:rsid w:val="00A51E55"/>
    <w:rsid w:val="00A56C45"/>
    <w:rsid w:val="00A87C63"/>
    <w:rsid w:val="00A94A6E"/>
    <w:rsid w:val="00AA36C2"/>
    <w:rsid w:val="00AB3816"/>
    <w:rsid w:val="00AB62CE"/>
    <w:rsid w:val="00AB70A9"/>
    <w:rsid w:val="00AE6A0B"/>
    <w:rsid w:val="00AF343E"/>
    <w:rsid w:val="00AF6038"/>
    <w:rsid w:val="00B40D5C"/>
    <w:rsid w:val="00B467A1"/>
    <w:rsid w:val="00BB5CAB"/>
    <w:rsid w:val="00BC2986"/>
    <w:rsid w:val="00BD1099"/>
    <w:rsid w:val="00BF765B"/>
    <w:rsid w:val="00BF7BFD"/>
    <w:rsid w:val="00C31159"/>
    <w:rsid w:val="00C46443"/>
    <w:rsid w:val="00C849AF"/>
    <w:rsid w:val="00CB2496"/>
    <w:rsid w:val="00D40AB9"/>
    <w:rsid w:val="00D5513D"/>
    <w:rsid w:val="00D76EBD"/>
    <w:rsid w:val="00D82C8A"/>
    <w:rsid w:val="00DA2D5E"/>
    <w:rsid w:val="00DA3D0C"/>
    <w:rsid w:val="00DD014E"/>
    <w:rsid w:val="00E216E3"/>
    <w:rsid w:val="00E36F73"/>
    <w:rsid w:val="00E56FEE"/>
    <w:rsid w:val="00E75610"/>
    <w:rsid w:val="00E86B3E"/>
    <w:rsid w:val="00EC119D"/>
    <w:rsid w:val="00EC354D"/>
    <w:rsid w:val="00EC53DB"/>
    <w:rsid w:val="00EC689A"/>
    <w:rsid w:val="00EF28C0"/>
    <w:rsid w:val="00F168CA"/>
    <w:rsid w:val="00F33AB7"/>
    <w:rsid w:val="00F64B47"/>
    <w:rsid w:val="00F85635"/>
    <w:rsid w:val="00F93167"/>
    <w:rsid w:val="00FA2D93"/>
    <w:rsid w:val="00FD2B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606</Words>
  <Characters>3337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19</cp:revision>
  <cp:lastPrinted>2022-01-10T15:24:00Z</cp:lastPrinted>
  <dcterms:created xsi:type="dcterms:W3CDTF">2022-06-15T14:38:00Z</dcterms:created>
  <dcterms:modified xsi:type="dcterms:W3CDTF">2022-09-21T15:14:00Z</dcterms:modified>
</cp:coreProperties>
</file>